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电视新闻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长消息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eastAsia="zh-CN"/>
              </w:rPr>
              <w:t>攸县新闻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2023.10.26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eastAsia="zh-CN"/>
              </w:rPr>
              <w:t>攸县：“污染源”变“营养源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”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eastAsia="zh-CN"/>
              </w:rPr>
              <w:t>绿色种养节本增效两不误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罗武吉 刘卫红 贺羚凤 曾婷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2023年中央一号文件明确，要推进农业绿色发展，建立健全畜禽粪污等农业废弃物收集利用处理体系。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攸县通过组建粪肥还田服务组织，对接种养两端，探索出粪污收集、处理、还田等全环节专业化服务体系，逐步构建了种养紧密衔接的绿色高效农业发展新模式。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该新闻播出后，在种植、养殖行业凝聚了强烈的“绿色高效”发展共识，“攸”字号农</w:t>
            </w: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有机肥的加持再添强劲动力，长期困扰养殖业的粪污环保处理问题也得到极大改善。攸县粪肥还田机制越来越受欢迎，种养互促互利的良性循环链日趋完善，全县一年可节省化肥开支、节约畜禽粪污无害化处理成本共计2200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攸县绿色种养循环</w:t>
            </w: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工作推进经验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也被农业农村部评为</w:t>
            </w: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十大县级典型案例</w:t>
            </w: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TM1NDIzZjZjNWYwYjEzOGIzODI1YWMzZDFlOTcifQ=="/>
  </w:docVars>
  <w:rsids>
    <w:rsidRoot w:val="00000000"/>
    <w:rsid w:val="0B4E1717"/>
    <w:rsid w:val="25B85DB9"/>
    <w:rsid w:val="289F13E4"/>
    <w:rsid w:val="2BF13CCD"/>
    <w:rsid w:val="2D2B79D4"/>
    <w:rsid w:val="352D0C3C"/>
    <w:rsid w:val="3D583BAC"/>
    <w:rsid w:val="4B1D01E3"/>
    <w:rsid w:val="4B7A38EB"/>
    <w:rsid w:val="4F824AB9"/>
    <w:rsid w:val="52796496"/>
    <w:rsid w:val="5E5166CA"/>
    <w:rsid w:val="65044496"/>
    <w:rsid w:val="6D9111A2"/>
    <w:rsid w:val="6DD26688"/>
    <w:rsid w:val="6E184F37"/>
    <w:rsid w:val="7A6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2024-01-04T07:44:00Z</dcterms:created>
  <dc:creator>Administrator</dc:creator>
  <cp:lastModifiedBy>旷衡</cp:lastModifiedBy>
  <dcterms:modified xsi:type="dcterms:W3CDTF">2024-01-05T06:32:11Z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04E08802CC6D4CD985C645E74C28CEAD_12</vt:lpwstr>
  </property>
</Properties>
</file>